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42" w:rsidRDefault="00A43C42" w:rsidP="00A43C42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D</w:t>
      </w:r>
    </w:p>
    <w:p w:rsidR="00A43C42" w:rsidRDefault="00A43C42" w:rsidP="00A43C42">
      <w:pPr>
        <w:jc w:val="center"/>
        <w:rPr>
          <w:rFonts w:asciiTheme="minorHAnsi" w:hAnsiTheme="minorHAnsi"/>
          <w:b/>
        </w:rPr>
      </w:pPr>
    </w:p>
    <w:p w:rsidR="008B7DCE" w:rsidRPr="008B7DCE" w:rsidRDefault="008B7DCE" w:rsidP="00A43C42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Alternative Fuel Infrastructure</w:t>
      </w:r>
    </w:p>
    <w:p w:rsidR="00A43C42" w:rsidRDefault="00A43C42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A43C42" w:rsidRPr="00BA3789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A43C42" w:rsidRPr="00C11B66" w:rsidRDefault="00A43C42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sz w:val="22"/>
                <w:szCs w:val="22"/>
              </w:rPr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0" w:name="_GoBack"/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bookmarkEnd w:id="0"/>
            <w:r w:rsidRPr="000653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A43C42" w:rsidRPr="00C11B66" w:rsidRDefault="00A43C42" w:rsidP="002A2F2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43C42" w:rsidRPr="00E608AF" w:rsidRDefault="00A43C42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8B7DCE" w:rsidRPr="00E608AF" w:rsidRDefault="00257171" w:rsidP="00E608AF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Certain types of fueling infrastructure projects require detailed information on the vehicles that will use the facility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.</w:t>
      </w:r>
      <w:r w:rsidR="008B7DCE" w:rsidRPr="00E608AF">
        <w:rPr>
          <w:rFonts w:asciiTheme="minorHAnsi" w:hAnsiTheme="minorHAnsi"/>
          <w:i/>
          <w:sz w:val="22"/>
          <w:szCs w:val="22"/>
        </w:rPr>
        <w:t xml:space="preserve"> 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Please</w:t>
      </w:r>
      <w:r w:rsidR="00CA4C31" w:rsidRPr="00E608AF">
        <w:rPr>
          <w:rFonts w:asciiTheme="minorHAnsi" w:hAnsiTheme="minorHAnsi"/>
          <w:b/>
          <w:i/>
          <w:sz w:val="22"/>
          <w:szCs w:val="22"/>
        </w:rPr>
        <w:t xml:space="preserve"> contact 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Alameda CTC staff to discuss</w:t>
      </w:r>
      <w:r w:rsidR="00A43C42" w:rsidRPr="00E608AF">
        <w:rPr>
          <w:rFonts w:asciiTheme="minorHAnsi" w:hAnsiTheme="minorHAnsi"/>
          <w:b/>
          <w:i/>
          <w:sz w:val="22"/>
          <w:szCs w:val="22"/>
        </w:rPr>
        <w:t xml:space="preserve"> prior to completing this form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.</w:t>
      </w:r>
    </w:p>
    <w:p w:rsidR="00A43C42" w:rsidRDefault="008B7DCE" w:rsidP="00E608AF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b/>
          <w:sz w:val="22"/>
          <w:szCs w:val="22"/>
          <w:u w:val="single"/>
        </w:rPr>
        <w:t>Eligibility</w:t>
      </w:r>
      <w:r w:rsidRPr="008B7DCE">
        <w:rPr>
          <w:rFonts w:asciiTheme="minorHAnsi" w:hAnsiTheme="minorHAnsi"/>
          <w:sz w:val="22"/>
          <w:szCs w:val="22"/>
        </w:rPr>
        <w:t xml:space="preserve"> </w:t>
      </w:r>
    </w:p>
    <w:p w:rsidR="008B7DCE" w:rsidRPr="008B7DCE" w:rsidRDefault="00F711B2" w:rsidP="00E608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711B2">
        <w:rPr>
          <w:rFonts w:asciiTheme="minorHAnsi" w:hAnsiTheme="minorHAnsi"/>
          <w:sz w:val="22"/>
          <w:szCs w:val="22"/>
        </w:rPr>
        <w:t>Alternative Fuel Infrastructure</w:t>
      </w:r>
      <w:r>
        <w:rPr>
          <w:rFonts w:asciiTheme="minorHAnsi" w:hAnsiTheme="minorHAnsi"/>
          <w:sz w:val="22"/>
          <w:szCs w:val="22"/>
        </w:rPr>
        <w:t xml:space="preserve"> projects are identified as an eligible project category under Policy No. 26 of the Air District’s TFCA CPM Policies.  </w:t>
      </w:r>
      <w:r w:rsidR="008B7DCE" w:rsidRPr="008B7DCE">
        <w:rPr>
          <w:rFonts w:asciiTheme="minorHAnsi" w:hAnsiTheme="minorHAnsi"/>
          <w:sz w:val="22"/>
          <w:szCs w:val="22"/>
        </w:rPr>
        <w:t>Eligible refueling infrastructure projects include new dispensing and charging facilities, or additional equipment or upgrades and improvements that expand access to existing alternati</w:t>
      </w:r>
      <w:r w:rsidR="00995897">
        <w:rPr>
          <w:rFonts w:asciiTheme="minorHAnsi" w:hAnsiTheme="minorHAnsi"/>
          <w:sz w:val="22"/>
          <w:szCs w:val="22"/>
        </w:rPr>
        <w:t xml:space="preserve">ve fuel fueling/charging sites. This includes, but is </w:t>
      </w:r>
      <w:r w:rsidR="00995897" w:rsidRPr="00995897">
        <w:rPr>
          <w:rFonts w:asciiTheme="minorHAnsi" w:hAnsiTheme="minorHAnsi"/>
          <w:sz w:val="22"/>
          <w:szCs w:val="22"/>
        </w:rPr>
        <w:t>not limited to, new elect</w:t>
      </w:r>
      <w:r w:rsidR="00995897">
        <w:rPr>
          <w:rFonts w:asciiTheme="minorHAnsi" w:hAnsiTheme="minorHAnsi"/>
          <w:sz w:val="22"/>
          <w:szCs w:val="22"/>
        </w:rPr>
        <w:t>ric vehicle charging facilities</w:t>
      </w:r>
      <w:r w:rsidR="00995897" w:rsidRPr="00995897">
        <w:rPr>
          <w:rFonts w:asciiTheme="minorHAnsi" w:hAnsiTheme="minorHAnsi"/>
          <w:sz w:val="22"/>
          <w:szCs w:val="22"/>
        </w:rPr>
        <w:t xml:space="preserve"> </w:t>
      </w:r>
      <w:r w:rsidR="00995897">
        <w:rPr>
          <w:rFonts w:asciiTheme="minorHAnsi" w:hAnsiTheme="minorHAnsi"/>
          <w:sz w:val="22"/>
          <w:szCs w:val="22"/>
        </w:rPr>
        <w:t>(</w:t>
      </w:r>
      <w:r w:rsidR="00995897" w:rsidRPr="00995897">
        <w:rPr>
          <w:rFonts w:asciiTheme="minorHAnsi" w:hAnsiTheme="minorHAnsi"/>
          <w:sz w:val="22"/>
          <w:szCs w:val="22"/>
        </w:rPr>
        <w:t>or additional equipment or upgrades</w:t>
      </w:r>
      <w:r w:rsidR="00995897">
        <w:rPr>
          <w:rFonts w:asciiTheme="minorHAnsi" w:hAnsiTheme="minorHAnsi"/>
          <w:sz w:val="22"/>
          <w:szCs w:val="22"/>
        </w:rPr>
        <w:t>),</w:t>
      </w:r>
      <w:r w:rsidR="00995897" w:rsidRPr="00995897">
        <w:rPr>
          <w:rFonts w:asciiTheme="minorHAnsi" w:hAnsiTheme="minorHAnsi"/>
          <w:sz w:val="22"/>
          <w:szCs w:val="22"/>
        </w:rPr>
        <w:t xml:space="preserve"> improvements that expand access to existing e</w:t>
      </w:r>
      <w:r w:rsidR="00995897">
        <w:rPr>
          <w:rFonts w:asciiTheme="minorHAnsi" w:hAnsiTheme="minorHAnsi"/>
          <w:sz w:val="22"/>
          <w:szCs w:val="22"/>
        </w:rPr>
        <w:t xml:space="preserve">lectric vehicle charging sites and </w:t>
      </w:r>
      <w:r w:rsidR="00995897" w:rsidRPr="00995897">
        <w:rPr>
          <w:rFonts w:asciiTheme="minorHAnsi" w:hAnsiTheme="minorHAnsi"/>
          <w:sz w:val="22"/>
          <w:szCs w:val="22"/>
        </w:rPr>
        <w:t>upgrading or modifying private charging sites to allow public and/or shared fleet access. Funding may be used to cover the cost of equipment and installation.</w:t>
      </w:r>
      <w:r w:rsidR="008B7DCE" w:rsidRPr="008B7DCE">
        <w:rPr>
          <w:rFonts w:asciiTheme="minorHAnsi" w:hAnsiTheme="minorHAnsi"/>
          <w:sz w:val="22"/>
          <w:szCs w:val="22"/>
        </w:rPr>
        <w:t xml:space="preserve"> Projects are subject to the following conditions: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Funding may be used to cover the cost of equipment and installation. TFCA funding may not be used to pay for fuel, electricity, operation, and maintenance costs.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TFCA funds may be used to upgrade infrastructure projects previously funded with TFCA as long as the equipment </w:t>
      </w:r>
      <w:r w:rsidR="00B804AE">
        <w:rPr>
          <w:rFonts w:asciiTheme="minorHAnsi" w:hAnsiTheme="minorHAnsi"/>
          <w:sz w:val="22"/>
          <w:szCs w:val="22"/>
        </w:rPr>
        <w:t>has been</w:t>
      </w:r>
      <w:r w:rsidR="00B804AE"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>maintained and has exceeded the duration of its years of effectiveness</w:t>
      </w:r>
      <w:r w:rsidR="00B804AE">
        <w:rPr>
          <w:rFonts w:asciiTheme="minorHAnsi" w:hAnsiTheme="minorHAnsi"/>
          <w:sz w:val="22"/>
          <w:szCs w:val="22"/>
        </w:rPr>
        <w:t xml:space="preserve"> </w:t>
      </w:r>
      <w:r w:rsidR="00B804AE" w:rsidRPr="008B7DCE">
        <w:rPr>
          <w:rFonts w:asciiTheme="minorHAnsi" w:hAnsiTheme="minorHAnsi"/>
          <w:sz w:val="22"/>
          <w:szCs w:val="22"/>
        </w:rPr>
        <w:t>after being placed in service</w:t>
      </w:r>
      <w:r w:rsidRPr="008B7DCE">
        <w:rPr>
          <w:rFonts w:asciiTheme="minorHAnsi" w:hAnsiTheme="minorHAnsi"/>
          <w:sz w:val="22"/>
          <w:szCs w:val="22"/>
        </w:rPr>
        <w:t xml:space="preserve"> (as established in </w:t>
      </w:r>
      <w:r w:rsidR="00B804AE">
        <w:rPr>
          <w:rFonts w:asciiTheme="minorHAnsi" w:hAnsiTheme="minorHAnsi"/>
          <w:sz w:val="22"/>
          <w:szCs w:val="22"/>
        </w:rPr>
        <w:t xml:space="preserve">the </w:t>
      </w:r>
      <w:r w:rsidRPr="008B7DCE">
        <w:rPr>
          <w:rFonts w:asciiTheme="minorHAnsi" w:hAnsiTheme="minorHAnsi"/>
          <w:sz w:val="22"/>
          <w:szCs w:val="22"/>
        </w:rPr>
        <w:t>previous TFCA funding evaluation).</w:t>
      </w:r>
    </w:p>
    <w:p w:rsidR="00B804A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TFCA-funded infrastructure projects must be available to</w:t>
      </w:r>
      <w:r w:rsidR="00B804AE">
        <w:rPr>
          <w:rFonts w:asciiTheme="minorHAnsi" w:hAnsiTheme="minorHAnsi"/>
          <w:sz w:val="22"/>
          <w:szCs w:val="22"/>
        </w:rPr>
        <w:t>/</w:t>
      </w:r>
      <w:r w:rsidRPr="008B7DCE">
        <w:rPr>
          <w:rFonts w:asciiTheme="minorHAnsi" w:hAnsiTheme="minorHAnsi"/>
          <w:sz w:val="22"/>
          <w:szCs w:val="22"/>
        </w:rPr>
        <w:t xml:space="preserve"> accessible by the public. 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Equipment and infrastructure must be designed, installed and maintained as required by the existing recognized codes and standards and approved by the local/state authority.</w:t>
      </w:r>
    </w:p>
    <w:p w:rsidR="008B7DCE" w:rsidRPr="00B804A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Project sponsors are required to maintain the equipment for at least five years after installation.</w:t>
      </w:r>
    </w:p>
    <w:p w:rsidR="00A43C42" w:rsidRPr="00C83A95" w:rsidRDefault="00A43C42" w:rsidP="00A43C42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A43C42" w:rsidRDefault="00A43C42" w:rsidP="00A43C42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For </w:t>
      </w:r>
      <w:r w:rsidRPr="00C50A95">
        <w:rPr>
          <w:rFonts w:asciiTheme="minorHAnsi" w:hAnsiTheme="minorHAnsi"/>
          <w:i/>
          <w:sz w:val="22"/>
          <w:szCs w:val="22"/>
        </w:rPr>
        <w:t>all projects proposed for TFCA funding the Alameda CTC is required to evaluate emissions reductions and TFCA cost-effectiveness, based on the following information. Use the most accurate or best estimate data available and state all assumptions/ calculations</w:t>
      </w:r>
      <w:r w:rsidRPr="00C50A95">
        <w:rPr>
          <w:rFonts w:asciiTheme="minorHAnsi" w:hAnsiTheme="minorHAnsi"/>
          <w:sz w:val="22"/>
          <w:szCs w:val="22"/>
        </w:rPr>
        <w:t xml:space="preserve">. </w:t>
      </w:r>
    </w:p>
    <w:p w:rsidR="0060278F" w:rsidRDefault="0060278F" w:rsidP="00A43C42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60278F" w:rsidRPr="00E608AF" w:rsidRDefault="0060278F" w:rsidP="00E608AF">
      <w:pPr>
        <w:pStyle w:val="ListParagraph"/>
        <w:tabs>
          <w:tab w:val="left" w:pos="0"/>
          <w:tab w:val="left" w:pos="768"/>
          <w:tab w:val="left" w:pos="9024"/>
          <w:tab w:val="left" w:pos="9696"/>
        </w:tabs>
        <w:spacing w:after="120" w:line="240" w:lineRule="exac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 xml:space="preserve">PART </w:t>
      </w:r>
      <w:r w:rsidR="002B48EF">
        <w:rPr>
          <w:rFonts w:asciiTheme="minorHAnsi" w:hAnsiTheme="minorHAnsi"/>
          <w:b/>
          <w:sz w:val="22"/>
          <w:szCs w:val="22"/>
        </w:rPr>
        <w:t>1</w:t>
      </w:r>
      <w:r w:rsidRPr="00E608AF">
        <w:rPr>
          <w:rFonts w:asciiTheme="minorHAnsi" w:hAnsiTheme="minorHAnsi"/>
          <w:b/>
          <w:sz w:val="22"/>
          <w:szCs w:val="22"/>
        </w:rPr>
        <w:t>:</w:t>
      </w:r>
      <w:r w:rsidR="002B48EF">
        <w:rPr>
          <w:rFonts w:asciiTheme="minorHAnsi" w:hAnsiTheme="minorHAnsi"/>
          <w:b/>
          <w:sz w:val="22"/>
          <w:szCs w:val="22"/>
        </w:rPr>
        <w:t xml:space="preserve"> </w:t>
      </w:r>
      <w:r w:rsidRPr="00E608AF">
        <w:rPr>
          <w:rFonts w:asciiTheme="minorHAnsi" w:hAnsiTheme="minorHAnsi"/>
          <w:b/>
          <w:sz w:val="22"/>
          <w:szCs w:val="22"/>
        </w:rPr>
        <w:t xml:space="preserve"> Electric Vehicle Charging Stations</w:t>
      </w:r>
    </w:p>
    <w:p w:rsidR="0060278F" w:rsidRPr="001E3B91" w:rsidRDefault="0060278F" w:rsidP="0060278F">
      <w:pPr>
        <w:pStyle w:val="ListParagraph"/>
        <w:numPr>
          <w:ilvl w:val="0"/>
          <w:numId w:val="48"/>
        </w:numPr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>The project will install w</w:t>
      </w:r>
      <w:r w:rsidR="00CA4C31" w:rsidRPr="00CA4C31">
        <w:rPr>
          <w:rFonts w:asciiTheme="minorHAnsi" w:hAnsiTheme="minorHAnsi"/>
          <w:b/>
          <w:sz w:val="22"/>
          <w:szCs w:val="22"/>
        </w:rPr>
        <w:t xml:space="preserve">hat type(s) </w:t>
      </w:r>
      <w:r w:rsidRPr="00E608AF">
        <w:rPr>
          <w:rFonts w:asciiTheme="minorHAnsi" w:hAnsiTheme="minorHAnsi"/>
          <w:b/>
          <w:sz w:val="22"/>
          <w:szCs w:val="22"/>
        </w:rPr>
        <w:t>of charger</w:t>
      </w:r>
      <w:r w:rsidR="00CA4C31" w:rsidRPr="00CA4C31">
        <w:rPr>
          <w:rFonts w:asciiTheme="minorHAnsi" w:hAnsiTheme="minorHAnsi"/>
          <w:b/>
          <w:sz w:val="22"/>
          <w:szCs w:val="22"/>
        </w:rPr>
        <w:t xml:space="preserve">s </w:t>
      </w:r>
      <w:r w:rsidR="00CA4C31">
        <w:rPr>
          <w:rFonts w:asciiTheme="minorHAnsi" w:hAnsiTheme="minorHAnsi"/>
          <w:b/>
          <w:sz w:val="22"/>
          <w:szCs w:val="22"/>
        </w:rPr>
        <w:t>(Level 1, Level 2 or DC Fast) and how many of each</w:t>
      </w:r>
      <w:r w:rsidRPr="00E608AF">
        <w:rPr>
          <w:rFonts w:asciiTheme="minorHAnsi" w:hAnsiTheme="minorHAnsi"/>
          <w:b/>
          <w:sz w:val="22"/>
          <w:szCs w:val="22"/>
        </w:rPr>
        <w:t>?</w:t>
      </w:r>
      <w:r w:rsidRPr="001E3B91">
        <w:rPr>
          <w:rFonts w:asciiTheme="minorHAnsi" w:hAnsiTheme="minorHAnsi"/>
          <w:b/>
          <w:sz w:val="22"/>
          <w:szCs w:val="22"/>
        </w:rPr>
        <w:t xml:space="preserve"> </w:t>
      </w:r>
    </w:p>
    <w:p w:rsidR="0060278F" w:rsidRDefault="0060278F" w:rsidP="0060278F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60278F" w:rsidRDefault="001E3B91" w:rsidP="00E608A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 xml:space="preserve">How many </w:t>
      </w:r>
      <w:r w:rsidR="00B804AE">
        <w:rPr>
          <w:rFonts w:asciiTheme="minorHAnsi" w:hAnsiTheme="minorHAnsi"/>
          <w:b/>
          <w:sz w:val="22"/>
          <w:szCs w:val="22"/>
        </w:rPr>
        <w:t xml:space="preserve">days per week and </w:t>
      </w:r>
      <w:r w:rsidRPr="00E608AF">
        <w:rPr>
          <w:rFonts w:asciiTheme="minorHAnsi" w:hAnsiTheme="minorHAnsi"/>
          <w:b/>
          <w:sz w:val="22"/>
          <w:szCs w:val="22"/>
        </w:rPr>
        <w:t>hours per day will the charger</w:t>
      </w:r>
      <w:r w:rsidR="00CA4C31">
        <w:rPr>
          <w:rFonts w:asciiTheme="minorHAnsi" w:hAnsiTheme="minorHAnsi"/>
          <w:b/>
          <w:sz w:val="22"/>
          <w:szCs w:val="22"/>
        </w:rPr>
        <w:t>(s)</w:t>
      </w:r>
      <w:r w:rsidRPr="00E608AF">
        <w:rPr>
          <w:rFonts w:asciiTheme="minorHAnsi" w:hAnsiTheme="minorHAnsi"/>
          <w:b/>
          <w:sz w:val="22"/>
          <w:szCs w:val="22"/>
        </w:rPr>
        <w:t xml:space="preserve"> be available to the public</w:t>
      </w:r>
      <w:r>
        <w:rPr>
          <w:rFonts w:asciiTheme="minorHAnsi" w:hAnsiTheme="minorHAnsi"/>
          <w:b/>
          <w:sz w:val="22"/>
          <w:szCs w:val="22"/>
        </w:rPr>
        <w:t xml:space="preserve">? </w:t>
      </w:r>
    </w:p>
    <w:p w:rsidR="002B48EF" w:rsidRPr="002B48EF" w:rsidRDefault="005371E0" w:rsidP="002B48EF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E608AF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E608AF">
        <w:rPr>
          <w:rFonts w:asciiTheme="minorHAnsi" w:hAnsiTheme="minorHAnsi"/>
          <w:sz w:val="22"/>
          <w:szCs w:val="22"/>
        </w:rPr>
        <w:instrText xml:space="preserve"> FORMTEXT </w:instrText>
      </w:r>
      <w:r w:rsidRPr="00E608AF">
        <w:rPr>
          <w:rFonts w:asciiTheme="minorHAnsi" w:hAnsiTheme="minorHAnsi"/>
          <w:sz w:val="22"/>
          <w:szCs w:val="22"/>
        </w:rPr>
      </w:r>
      <w:r w:rsidRPr="00E608AF">
        <w:rPr>
          <w:rFonts w:asciiTheme="minorHAnsi" w:hAnsiTheme="minorHAnsi"/>
          <w:sz w:val="22"/>
          <w:szCs w:val="22"/>
        </w:rPr>
        <w:fldChar w:fldCharType="separate"/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E608AF">
        <w:rPr>
          <w:rFonts w:asciiTheme="minorHAnsi" w:hAnsiTheme="minorHAnsi"/>
          <w:sz w:val="22"/>
          <w:szCs w:val="22"/>
        </w:rPr>
        <w:fldChar w:fldCharType="end"/>
      </w:r>
    </w:p>
    <w:p w:rsidR="005371E0" w:rsidRPr="00E608AF" w:rsidRDefault="005371E0" w:rsidP="00E608A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Will any of the proposed charging stations/equipment be i</w:t>
      </w:r>
      <w:r w:rsidRPr="005371E0">
        <w:rPr>
          <w:rFonts w:asciiTheme="minorHAnsi" w:hAnsiTheme="minorHAnsi"/>
          <w:b/>
          <w:sz w:val="22"/>
          <w:szCs w:val="22"/>
        </w:rPr>
        <w:t>nstalled at High Priority Location</w:t>
      </w:r>
      <w:r>
        <w:rPr>
          <w:rFonts w:asciiTheme="minorHAnsi" w:hAnsiTheme="minorHAnsi"/>
          <w:b/>
          <w:sz w:val="22"/>
          <w:szCs w:val="22"/>
        </w:rPr>
        <w:t xml:space="preserve">s? If so, list locations. </w:t>
      </w:r>
      <w:r w:rsidRPr="00E608AF">
        <w:rPr>
          <w:rFonts w:asciiTheme="minorHAnsi" w:hAnsiTheme="minorHAnsi"/>
          <w:i/>
          <w:sz w:val="22"/>
          <w:szCs w:val="22"/>
        </w:rPr>
        <w:t>High Priority Locations for EV charging stations are identified by BAAQMD and include: multi-dwelling units, transit stations and park and ride facilities.</w:t>
      </w:r>
    </w:p>
    <w:p w:rsidR="005371E0" w:rsidRPr="00E608AF" w:rsidRDefault="005371E0" w:rsidP="00E608AF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E608AF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E608AF">
        <w:rPr>
          <w:rFonts w:asciiTheme="minorHAnsi" w:hAnsiTheme="minorHAnsi"/>
          <w:sz w:val="22"/>
          <w:szCs w:val="22"/>
        </w:rPr>
        <w:instrText xml:space="preserve"> FORMTEXT </w:instrText>
      </w:r>
      <w:r w:rsidRPr="00E608AF">
        <w:rPr>
          <w:rFonts w:asciiTheme="minorHAnsi" w:hAnsiTheme="minorHAnsi"/>
          <w:sz w:val="22"/>
          <w:szCs w:val="22"/>
        </w:rPr>
      </w:r>
      <w:r w:rsidRPr="00E608AF">
        <w:rPr>
          <w:rFonts w:asciiTheme="minorHAnsi" w:hAnsiTheme="minorHAnsi"/>
          <w:sz w:val="22"/>
          <w:szCs w:val="22"/>
        </w:rPr>
        <w:fldChar w:fldCharType="separate"/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E608AF">
        <w:rPr>
          <w:rFonts w:asciiTheme="minorHAnsi" w:hAnsiTheme="minorHAnsi"/>
          <w:sz w:val="22"/>
          <w:szCs w:val="22"/>
        </w:rPr>
        <w:fldChar w:fldCharType="end"/>
      </w:r>
    </w:p>
    <w:p w:rsidR="005371E0" w:rsidRPr="00E608AF" w:rsidRDefault="005371E0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</w:p>
    <w:p w:rsidR="0060278F" w:rsidRPr="00E608AF" w:rsidRDefault="0060278F" w:rsidP="00E608AF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 xml:space="preserve">PART </w:t>
      </w:r>
      <w:r w:rsidR="002B48EF">
        <w:rPr>
          <w:rFonts w:asciiTheme="minorHAnsi" w:hAnsiTheme="minorHAnsi"/>
          <w:b/>
          <w:sz w:val="22"/>
          <w:szCs w:val="22"/>
        </w:rPr>
        <w:t>2</w:t>
      </w:r>
      <w:r w:rsidRPr="00E608AF">
        <w:rPr>
          <w:rFonts w:asciiTheme="minorHAnsi" w:hAnsiTheme="minorHAnsi"/>
          <w:b/>
          <w:sz w:val="22"/>
          <w:szCs w:val="22"/>
        </w:rPr>
        <w:t xml:space="preserve">: </w:t>
      </w:r>
      <w:r w:rsidR="002B48EF">
        <w:rPr>
          <w:rFonts w:asciiTheme="minorHAnsi" w:hAnsiTheme="minorHAnsi"/>
          <w:b/>
          <w:sz w:val="22"/>
          <w:szCs w:val="22"/>
        </w:rPr>
        <w:t xml:space="preserve"> </w:t>
      </w:r>
      <w:r w:rsidRPr="00E608AF">
        <w:rPr>
          <w:rFonts w:asciiTheme="minorHAnsi" w:hAnsiTheme="minorHAnsi"/>
          <w:b/>
          <w:sz w:val="22"/>
          <w:szCs w:val="22"/>
        </w:rPr>
        <w:t xml:space="preserve">Other </w:t>
      </w:r>
      <w:r w:rsidR="00CA4C31">
        <w:rPr>
          <w:rFonts w:asciiTheme="minorHAnsi" w:hAnsiTheme="minorHAnsi"/>
          <w:b/>
          <w:sz w:val="22"/>
          <w:szCs w:val="22"/>
        </w:rPr>
        <w:t>Vehicle Fueling</w:t>
      </w:r>
      <w:r w:rsidRPr="00E608AF">
        <w:rPr>
          <w:rFonts w:asciiTheme="minorHAnsi" w:hAnsiTheme="minorHAnsi"/>
          <w:b/>
          <w:sz w:val="22"/>
          <w:szCs w:val="22"/>
        </w:rPr>
        <w:t xml:space="preserve"> Infrastructure and Upgrades</w:t>
      </w:r>
    </w:p>
    <w:p w:rsidR="0060278F" w:rsidRDefault="0060278F" w:rsidP="00A43C42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60278F" w:rsidRPr="00E608AF" w:rsidRDefault="0060278F" w:rsidP="002B48EF">
      <w:pPr>
        <w:pStyle w:val="ListParagraph"/>
        <w:numPr>
          <w:ilvl w:val="0"/>
          <w:numId w:val="49"/>
        </w:numPr>
        <w:rPr>
          <w:rFonts w:asciiTheme="minorHAnsi" w:hAnsiTheme="minorHAnsi"/>
          <w:b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t xml:space="preserve">Is project installing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2A2F24">
        <w:rPr>
          <w:rFonts w:asciiTheme="minorHAnsi" w:hAnsiTheme="minorHAnsi"/>
          <w:sz w:val="22"/>
          <w:szCs w:val="22"/>
        </w:rPr>
        <w:t>new fueling station or u</w:t>
      </w:r>
      <w:r w:rsidRPr="00E608AF">
        <w:rPr>
          <w:rFonts w:asciiTheme="minorHAnsi" w:hAnsiTheme="minorHAnsi"/>
          <w:sz w:val="22"/>
          <w:szCs w:val="22"/>
        </w:rPr>
        <w:t>pgrading an existing facility/equipment?</w:t>
      </w:r>
      <w:r w:rsidRPr="00E608AF">
        <w:rPr>
          <w:rFonts w:asciiTheme="minorHAnsi" w:hAnsiTheme="minorHAnsi"/>
          <w:b/>
          <w:sz w:val="22"/>
          <w:szCs w:val="22"/>
        </w:rPr>
        <w:t xml:space="preserve"> </w:t>
      </w:r>
    </w:p>
    <w:p w:rsidR="0060278F" w:rsidRDefault="0060278F" w:rsidP="0060278F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60278F" w:rsidRDefault="0060278F" w:rsidP="002B48EF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sz w:val="22"/>
          <w:szCs w:val="22"/>
        </w:rPr>
        <w:t>Provide any additional information that may be useful in the project evaluation</w:t>
      </w:r>
      <w:r>
        <w:rPr>
          <w:rFonts w:asciiTheme="minorHAnsi" w:hAnsiTheme="minorHAnsi"/>
          <w:sz w:val="22"/>
          <w:szCs w:val="22"/>
        </w:rPr>
        <w:t>:</w:t>
      </w:r>
    </w:p>
    <w:p w:rsidR="00A43C42" w:rsidRPr="00E608AF" w:rsidRDefault="0060278F" w:rsidP="00E608AF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A43C42" w:rsidRDefault="00A43C42" w:rsidP="002B48EF">
      <w:pPr>
        <w:pStyle w:val="ListParagraph"/>
        <w:numPr>
          <w:ilvl w:val="0"/>
          <w:numId w:val="49"/>
        </w:numPr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sz w:val="22"/>
          <w:szCs w:val="22"/>
        </w:rPr>
        <w:t xml:space="preserve">Is project installing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E608AF">
        <w:rPr>
          <w:rFonts w:asciiTheme="minorHAnsi" w:hAnsiTheme="minorHAnsi"/>
          <w:sz w:val="22"/>
          <w:szCs w:val="22"/>
        </w:rPr>
        <w:t>new fueling station or upgrading an existing facility/equipment?</w:t>
      </w:r>
      <w:r w:rsidRPr="00E608AF">
        <w:rPr>
          <w:rFonts w:asciiTheme="minorHAnsi" w:hAnsiTheme="minorHAnsi"/>
          <w:b/>
          <w:sz w:val="22"/>
          <w:szCs w:val="22"/>
        </w:rPr>
        <w:t xml:space="preserve"> </w:t>
      </w:r>
    </w:p>
    <w:p w:rsidR="00A43C42" w:rsidRDefault="00A43C42" w:rsidP="00E608AF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E608AF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E608AF">
        <w:rPr>
          <w:rFonts w:asciiTheme="minorHAnsi" w:hAnsiTheme="minorHAnsi"/>
          <w:sz w:val="22"/>
          <w:szCs w:val="22"/>
        </w:rPr>
        <w:instrText xml:space="preserve"> FORMTEXT </w:instrText>
      </w:r>
      <w:r w:rsidRPr="00E608AF">
        <w:rPr>
          <w:rFonts w:asciiTheme="minorHAnsi" w:hAnsiTheme="minorHAnsi"/>
          <w:sz w:val="22"/>
          <w:szCs w:val="22"/>
        </w:rPr>
      </w:r>
      <w:r w:rsidRPr="00E608AF">
        <w:rPr>
          <w:rFonts w:asciiTheme="minorHAnsi" w:hAnsiTheme="minorHAnsi"/>
          <w:sz w:val="22"/>
          <w:szCs w:val="22"/>
        </w:rPr>
        <w:fldChar w:fldCharType="separate"/>
      </w:r>
      <w:r w:rsidRPr="00E608AF">
        <w:rPr>
          <w:rFonts w:asciiTheme="minorHAnsi" w:hAnsiTheme="minorHAnsi"/>
          <w:sz w:val="22"/>
          <w:szCs w:val="22"/>
        </w:rPr>
        <w:t> </w:t>
      </w:r>
      <w:r w:rsidRPr="00E608AF">
        <w:rPr>
          <w:rFonts w:asciiTheme="minorHAnsi" w:hAnsiTheme="minorHAnsi"/>
          <w:sz w:val="22"/>
          <w:szCs w:val="22"/>
        </w:rPr>
        <w:t> </w:t>
      </w:r>
      <w:r w:rsidRPr="00E608AF">
        <w:rPr>
          <w:rFonts w:asciiTheme="minorHAnsi" w:hAnsiTheme="minorHAnsi"/>
          <w:sz w:val="22"/>
          <w:szCs w:val="22"/>
        </w:rPr>
        <w:t> </w:t>
      </w:r>
      <w:r w:rsidRPr="00E608AF">
        <w:rPr>
          <w:rFonts w:asciiTheme="minorHAnsi" w:hAnsiTheme="minorHAnsi"/>
          <w:sz w:val="22"/>
          <w:szCs w:val="22"/>
        </w:rPr>
        <w:t> </w:t>
      </w:r>
      <w:r w:rsidRPr="00E608AF">
        <w:rPr>
          <w:rFonts w:asciiTheme="minorHAnsi" w:hAnsiTheme="minorHAnsi"/>
          <w:sz w:val="22"/>
          <w:szCs w:val="22"/>
        </w:rPr>
        <w:t> </w:t>
      </w:r>
      <w:r w:rsidRPr="00E608AF">
        <w:rPr>
          <w:rFonts w:asciiTheme="minorHAnsi" w:hAnsiTheme="minorHAnsi"/>
          <w:sz w:val="22"/>
          <w:szCs w:val="22"/>
        </w:rPr>
        <w:fldChar w:fldCharType="end"/>
      </w:r>
    </w:p>
    <w:p w:rsidR="00A43C42" w:rsidRDefault="00A43C42" w:rsidP="002B48EF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sz w:val="22"/>
          <w:szCs w:val="22"/>
        </w:rPr>
        <w:t>Provide any additional information that may be useful in the project evaluation</w:t>
      </w:r>
      <w:r>
        <w:rPr>
          <w:rFonts w:asciiTheme="minorHAnsi" w:hAnsiTheme="minorHAnsi"/>
          <w:sz w:val="22"/>
          <w:szCs w:val="22"/>
        </w:rPr>
        <w:t>:</w:t>
      </w:r>
    </w:p>
    <w:p w:rsidR="00A43C42" w:rsidRPr="00E608AF" w:rsidRDefault="00A43C42" w:rsidP="00E608AF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E608AF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E608AF">
        <w:rPr>
          <w:rFonts w:asciiTheme="minorHAnsi" w:hAnsiTheme="minorHAnsi"/>
          <w:sz w:val="22"/>
          <w:szCs w:val="22"/>
        </w:rPr>
        <w:instrText xml:space="preserve"> FORMTEXT </w:instrText>
      </w:r>
      <w:r w:rsidRPr="00E608AF">
        <w:rPr>
          <w:rFonts w:asciiTheme="minorHAnsi" w:hAnsiTheme="minorHAnsi"/>
          <w:sz w:val="22"/>
          <w:szCs w:val="22"/>
        </w:rPr>
      </w:r>
      <w:r w:rsidRPr="00E608AF">
        <w:rPr>
          <w:rFonts w:asciiTheme="minorHAnsi" w:hAnsiTheme="minorHAnsi"/>
          <w:sz w:val="22"/>
          <w:szCs w:val="22"/>
        </w:rPr>
        <w:fldChar w:fldCharType="separate"/>
      </w:r>
      <w:r w:rsidRPr="00E608AF">
        <w:rPr>
          <w:rFonts w:asciiTheme="minorHAnsi" w:hAnsiTheme="minorHAnsi"/>
          <w:sz w:val="22"/>
          <w:szCs w:val="22"/>
        </w:rPr>
        <w:t> </w:t>
      </w:r>
      <w:r w:rsidRPr="00E608AF">
        <w:rPr>
          <w:rFonts w:asciiTheme="minorHAnsi" w:hAnsiTheme="minorHAnsi"/>
          <w:sz w:val="22"/>
          <w:szCs w:val="22"/>
        </w:rPr>
        <w:t> </w:t>
      </w:r>
      <w:r w:rsidRPr="00E608AF">
        <w:rPr>
          <w:rFonts w:asciiTheme="minorHAnsi" w:hAnsiTheme="minorHAnsi"/>
          <w:sz w:val="22"/>
          <w:szCs w:val="22"/>
        </w:rPr>
        <w:t> </w:t>
      </w:r>
      <w:r w:rsidRPr="00E608AF">
        <w:rPr>
          <w:rFonts w:asciiTheme="minorHAnsi" w:hAnsiTheme="minorHAnsi"/>
          <w:sz w:val="22"/>
          <w:szCs w:val="22"/>
        </w:rPr>
        <w:t> </w:t>
      </w:r>
      <w:r w:rsidRPr="00E608AF">
        <w:rPr>
          <w:rFonts w:asciiTheme="minorHAnsi" w:hAnsiTheme="minorHAnsi"/>
          <w:sz w:val="22"/>
          <w:szCs w:val="22"/>
        </w:rPr>
        <w:t> </w:t>
      </w:r>
      <w:r w:rsidRPr="00E608AF">
        <w:rPr>
          <w:rFonts w:asciiTheme="minorHAnsi" w:hAnsiTheme="minorHAnsi"/>
          <w:sz w:val="22"/>
          <w:szCs w:val="22"/>
        </w:rPr>
        <w:fldChar w:fldCharType="end"/>
      </w:r>
    </w:p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E608AF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DE" w:rsidRDefault="00B350DE" w:rsidP="008B7DCE">
      <w:r>
        <w:separator/>
      </w:r>
    </w:p>
  </w:endnote>
  <w:endnote w:type="continuationSeparator" w:id="0">
    <w:p w:rsidR="00B350DE" w:rsidRDefault="00B350DE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2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1C73EB" w:rsidRP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DE" w:rsidRDefault="00B350DE" w:rsidP="008B7DCE">
      <w:r>
        <w:separator/>
      </w:r>
    </w:p>
  </w:footnote>
  <w:footnote w:type="continuationSeparator" w:id="0">
    <w:p w:rsidR="00B350DE" w:rsidRDefault="00B350DE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71" w:rsidRDefault="00257171" w:rsidP="00E608AF">
    <w:pPr>
      <w:tabs>
        <w:tab w:val="right" w:pos="9180"/>
      </w:tabs>
      <w:rPr>
        <w:rFonts w:asciiTheme="minorHAnsi" w:hAnsiTheme="minorHAnsi"/>
        <w:b/>
      </w:rPr>
    </w:pPr>
    <w:r w:rsidRPr="0081552B">
      <w:rPr>
        <w:rFonts w:asciiTheme="minorHAnsi" w:hAnsiTheme="minorHAnsi"/>
        <w:i/>
      </w:rPr>
      <w:t>Alameda CTC FY 201</w:t>
    </w:r>
    <w:r>
      <w:rPr>
        <w:rFonts w:asciiTheme="minorHAnsi" w:hAnsiTheme="minorHAnsi"/>
        <w:i/>
      </w:rPr>
      <w:t xml:space="preserve">9-20 </w:t>
    </w:r>
    <w:r w:rsidRPr="0081552B">
      <w:rPr>
        <w:rFonts w:asciiTheme="minorHAnsi" w:hAnsiTheme="minorHAnsi"/>
        <w:i/>
      </w:rPr>
      <w:t>TFCA Call for Projects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  <w:t>March 2019</w:t>
    </w:r>
  </w:p>
  <w:p w:rsidR="00B350DE" w:rsidRPr="00353946" w:rsidRDefault="00B350D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8E6"/>
    <w:multiLevelType w:val="hybridMultilevel"/>
    <w:tmpl w:val="DAAE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0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E0656"/>
    <w:multiLevelType w:val="hybridMultilevel"/>
    <w:tmpl w:val="DAAE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3"/>
  </w:num>
  <w:num w:numId="4">
    <w:abstractNumId w:val="38"/>
  </w:num>
  <w:num w:numId="5">
    <w:abstractNumId w:val="31"/>
  </w:num>
  <w:num w:numId="6">
    <w:abstractNumId w:val="34"/>
  </w:num>
  <w:num w:numId="7">
    <w:abstractNumId w:val="13"/>
  </w:num>
  <w:num w:numId="8">
    <w:abstractNumId w:val="15"/>
  </w:num>
  <w:num w:numId="9">
    <w:abstractNumId w:val="30"/>
  </w:num>
  <w:num w:numId="10">
    <w:abstractNumId w:val="10"/>
  </w:num>
  <w:num w:numId="11">
    <w:abstractNumId w:val="3"/>
  </w:num>
  <w:num w:numId="12">
    <w:abstractNumId w:val="21"/>
  </w:num>
  <w:num w:numId="13">
    <w:abstractNumId w:val="22"/>
  </w:num>
  <w:num w:numId="14">
    <w:abstractNumId w:val="2"/>
  </w:num>
  <w:num w:numId="15">
    <w:abstractNumId w:val="27"/>
  </w:num>
  <w:num w:numId="16">
    <w:abstractNumId w:val="4"/>
  </w:num>
  <w:num w:numId="17">
    <w:abstractNumId w:val="20"/>
  </w:num>
  <w:num w:numId="18">
    <w:abstractNumId w:val="12"/>
  </w:num>
  <w:num w:numId="19">
    <w:abstractNumId w:val="26"/>
  </w:num>
  <w:num w:numId="20">
    <w:abstractNumId w:val="41"/>
  </w:num>
  <w:num w:numId="21">
    <w:abstractNumId w:val="42"/>
  </w:num>
  <w:num w:numId="22">
    <w:abstractNumId w:val="11"/>
  </w:num>
  <w:num w:numId="23">
    <w:abstractNumId w:val="35"/>
  </w:num>
  <w:num w:numId="24">
    <w:abstractNumId w:val="37"/>
  </w:num>
  <w:num w:numId="25">
    <w:abstractNumId w:val="40"/>
  </w:num>
  <w:num w:numId="26">
    <w:abstractNumId w:val="18"/>
  </w:num>
  <w:num w:numId="27">
    <w:abstractNumId w:val="9"/>
  </w:num>
  <w:num w:numId="28">
    <w:abstractNumId w:val="23"/>
  </w:num>
  <w:num w:numId="29">
    <w:abstractNumId w:val="1"/>
  </w:num>
  <w:num w:numId="30">
    <w:abstractNumId w:val="32"/>
  </w:num>
  <w:num w:numId="31">
    <w:abstractNumId w:val="7"/>
  </w:num>
  <w:num w:numId="32">
    <w:abstractNumId w:val="28"/>
  </w:num>
  <w:num w:numId="33">
    <w:abstractNumId w:val="8"/>
  </w:num>
  <w:num w:numId="34">
    <w:abstractNumId w:val="25"/>
  </w:num>
  <w:num w:numId="35">
    <w:abstractNumId w:val="14"/>
  </w:num>
  <w:num w:numId="36">
    <w:abstractNumId w:val="24"/>
  </w:num>
  <w:num w:numId="37">
    <w:abstractNumId w:val="39"/>
  </w:num>
  <w:num w:numId="38">
    <w:abstractNumId w:val="16"/>
  </w:num>
  <w:num w:numId="39">
    <w:abstractNumId w:val="19"/>
  </w:num>
  <w:num w:numId="40">
    <w:abstractNumId w:val="29"/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3EB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B91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BD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171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8EF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0DB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1E0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8F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CE8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897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C42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3889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0DE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4AE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31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8AF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6B9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DE11-384D-4FAC-89EF-57C32F15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20</cp:revision>
  <cp:lastPrinted>2019-03-16T02:17:00Z</cp:lastPrinted>
  <dcterms:created xsi:type="dcterms:W3CDTF">2019-02-22T22:18:00Z</dcterms:created>
  <dcterms:modified xsi:type="dcterms:W3CDTF">2019-03-25T18:01:00Z</dcterms:modified>
</cp:coreProperties>
</file>